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718"/>
      </w:tblGrid>
      <w:tr w:rsidR="005E5939" w:rsidRPr="00850491" w14:paraId="27EA51E2" w14:textId="77777777" w:rsidTr="000034D7">
        <w:trPr>
          <w:jc w:val="right"/>
        </w:trPr>
        <w:tc>
          <w:tcPr>
            <w:tcW w:w="4927" w:type="dxa"/>
          </w:tcPr>
          <w:p w14:paraId="1E3E1D86" w14:textId="77777777" w:rsidR="005E5939" w:rsidRDefault="005E5939" w:rsidP="000034D7">
            <w:pPr>
              <w:rPr>
                <w:rFonts w:ascii="Palatino Linotype" w:hAnsi="Palatino Linotype" w:cs="Segoe UI"/>
                <w:lang w:val="az-Latn-AZ"/>
              </w:rPr>
            </w:pPr>
          </w:p>
        </w:tc>
        <w:tc>
          <w:tcPr>
            <w:tcW w:w="4927" w:type="dxa"/>
          </w:tcPr>
          <w:p w14:paraId="4FFF6130" w14:textId="77777777" w:rsidR="005E5939" w:rsidRPr="00AB0E15" w:rsidRDefault="005E5939" w:rsidP="000034D7">
            <w:pPr>
              <w:jc w:val="right"/>
              <w:rPr>
                <w:rFonts w:ascii="Palatino Linotype" w:hAnsi="Palatino Linotype" w:cs="Arial"/>
                <w:bCs/>
                <w:iCs/>
                <w:sz w:val="22"/>
                <w:szCs w:val="22"/>
                <w:lang w:val="az-Latn-AZ"/>
              </w:rPr>
            </w:pPr>
            <w:r w:rsidRPr="00AB0E15">
              <w:rPr>
                <w:rFonts w:ascii="Palatino Linotype" w:hAnsi="Palatino Linotype" w:cs="Arial"/>
                <w:bCs/>
                <w:iCs/>
                <w:sz w:val="22"/>
                <w:szCs w:val="22"/>
                <w:lang w:val="az-Latn-AZ"/>
              </w:rPr>
              <w:t>Əlavə 2</w:t>
            </w:r>
          </w:p>
          <w:p w14:paraId="13406188" w14:textId="77777777" w:rsidR="005E5939" w:rsidRDefault="005E5939" w:rsidP="000034D7">
            <w:pPr>
              <w:jc w:val="both"/>
              <w:rPr>
                <w:rFonts w:ascii="Palatino Linotype" w:hAnsi="Palatino Linotype" w:cs="Segoe UI"/>
                <w:lang w:val="az-Latn-AZ"/>
              </w:rPr>
            </w:pPr>
            <w:r w:rsidRPr="00AB0E15">
              <w:rPr>
                <w:rFonts w:ascii="Palatino Linotype" w:hAnsi="Palatino Linotype" w:cs="Arial"/>
                <w:bCs/>
                <w:sz w:val="22"/>
                <w:szCs w:val="22"/>
                <w:lang w:val="az-Latn-AZ"/>
              </w:rPr>
              <w:t>Azərbaycan Respublikası Dövlət Statistika Komitəsinin 2022-ci il 30 dekabr tarixli 48/18 nömrəli qərarı ilə təsdiq edilmişdir.</w:t>
            </w:r>
          </w:p>
        </w:tc>
      </w:tr>
    </w:tbl>
    <w:p w14:paraId="63541CC6" w14:textId="77777777" w:rsidR="005E5939" w:rsidRDefault="005E5939" w:rsidP="005E5939">
      <w:pPr>
        <w:widowControl w:val="0"/>
        <w:jc w:val="center"/>
        <w:rPr>
          <w:rFonts w:ascii="Palatino Linotype" w:hAnsi="Palatino Linotype" w:cs="Segoe UI"/>
          <w:lang w:val="az-Latn-AZ"/>
        </w:rPr>
      </w:pPr>
    </w:p>
    <w:p w14:paraId="2CE0B152" w14:textId="77777777" w:rsidR="005E5939" w:rsidRPr="00263268" w:rsidRDefault="005E5939" w:rsidP="005E5939">
      <w:pPr>
        <w:jc w:val="center"/>
        <w:rPr>
          <w:rFonts w:ascii="Palatino Linotype" w:hAnsi="Palatino Linotype" w:cs="Arial"/>
          <w:b/>
          <w:lang w:val="az-Latn-AZ"/>
        </w:rPr>
      </w:pPr>
      <w:r w:rsidRPr="00263268">
        <w:rPr>
          <w:rFonts w:ascii="Palatino Linotype" w:hAnsi="Palatino Linotype" w:cs="Arial"/>
          <w:b/>
          <w:lang w:val="az-Latn-AZ"/>
        </w:rPr>
        <w:t>“Rabitə xidmətləri haqqında” 4-rabitə №-li rüblük rəsmi statistika hesabatı formasının doldurulmasına dair</w:t>
      </w:r>
    </w:p>
    <w:p w14:paraId="42FF6504" w14:textId="77777777" w:rsidR="005E5939" w:rsidRPr="00263268" w:rsidRDefault="005E5939" w:rsidP="005E5939">
      <w:pPr>
        <w:jc w:val="center"/>
        <w:rPr>
          <w:rFonts w:ascii="Palatino Linotype" w:hAnsi="Palatino Linotype" w:cs="Arial"/>
          <w:b/>
          <w:lang w:val="az-Latn-AZ"/>
        </w:rPr>
      </w:pPr>
    </w:p>
    <w:p w14:paraId="5AD31634" w14:textId="77777777" w:rsidR="005E5939" w:rsidRPr="00263268" w:rsidRDefault="005E5939" w:rsidP="005E5939">
      <w:pPr>
        <w:jc w:val="center"/>
        <w:rPr>
          <w:rFonts w:ascii="Palatino Linotype" w:hAnsi="Palatino Linotype" w:cs="Arial"/>
          <w:b/>
          <w:lang w:val="az-Latn-AZ"/>
        </w:rPr>
      </w:pPr>
      <w:r w:rsidRPr="00263268">
        <w:rPr>
          <w:rFonts w:ascii="Palatino Linotype" w:hAnsi="Palatino Linotype" w:cs="Arial"/>
          <w:b/>
          <w:lang w:val="az-Latn-AZ"/>
        </w:rPr>
        <w:t>G Ö S T Ə R İ Ş</w:t>
      </w:r>
    </w:p>
    <w:p w14:paraId="6F07BB3B" w14:textId="77777777" w:rsidR="005E5939" w:rsidRPr="00263268" w:rsidRDefault="005E5939" w:rsidP="005E5939">
      <w:pPr>
        <w:jc w:val="center"/>
        <w:rPr>
          <w:rFonts w:ascii="Palatino Linotype" w:hAnsi="Palatino Linotype" w:cs="Arial"/>
          <w:b/>
          <w:lang w:val="az-Latn-AZ"/>
        </w:rPr>
      </w:pPr>
    </w:p>
    <w:p w14:paraId="16A6A752" w14:textId="77777777" w:rsidR="005E5939" w:rsidRDefault="005E5939" w:rsidP="005E5939">
      <w:pPr>
        <w:jc w:val="center"/>
        <w:rPr>
          <w:rFonts w:ascii="Palatino Linotype" w:hAnsi="Palatino Linotype" w:cs="Arial"/>
          <w:b/>
          <w:lang w:val="az-Latn-AZ"/>
        </w:rPr>
      </w:pPr>
      <w:r w:rsidRPr="00263268">
        <w:rPr>
          <w:rFonts w:ascii="Palatino Linotype" w:hAnsi="Palatino Linotype" w:cs="Arial"/>
          <w:b/>
          <w:lang w:val="az-Latn-AZ"/>
        </w:rPr>
        <w:t>1. Ümumi müddəalar</w:t>
      </w:r>
    </w:p>
    <w:p w14:paraId="126DA306" w14:textId="77777777" w:rsidR="005E5939" w:rsidRPr="00263268" w:rsidRDefault="005E5939" w:rsidP="005E5939">
      <w:pPr>
        <w:jc w:val="center"/>
        <w:rPr>
          <w:rFonts w:ascii="Palatino Linotype" w:hAnsi="Palatino Linotype" w:cs="Arial"/>
          <w:b/>
          <w:lang w:val="az-Latn-AZ"/>
        </w:rPr>
      </w:pPr>
    </w:p>
    <w:p w14:paraId="1313D36E"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1.1. “Rabitə xidmətləri haqqında” 4-rabitə №-li rüblük rəsmi statistika hesabatı forması telekommunikasiya və poçt rabitəsi müəssisələrinin göstərdikləri xidmətlərin dəyər və natura ifadəsində həcmi barədə məlumatların əldə edilməsi üçün nəzərdə tutulmuşdur. </w:t>
      </w:r>
    </w:p>
    <w:p w14:paraId="7AA2E9E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1.2. Bu müəssisələr hesabatı hesabat dövründən sonra 30 gün müddətinə elektron </w:t>
      </w:r>
      <w:r w:rsidRPr="00AB0E15">
        <w:rPr>
          <w:rFonts w:ascii="Palatino Linotype" w:hAnsi="Palatino Linotype" w:cs="Arial"/>
          <w:lang w:val="az-Latn-AZ"/>
        </w:rPr>
        <w:t xml:space="preserve">formada </w:t>
      </w:r>
      <w:hyperlink r:id="rId4" w:history="1">
        <w:r w:rsidRPr="00AB0E15">
          <w:rPr>
            <w:rStyle w:val="Hyperlink"/>
            <w:rFonts w:ascii="Palatino Linotype" w:hAnsi="Palatino Linotype" w:cs="Arial"/>
            <w:lang w:val="az-Latn-AZ"/>
          </w:rPr>
          <w:t>www.stat.gov.az</w:t>
        </w:r>
      </w:hyperlink>
      <w:r w:rsidRPr="00AB0E15">
        <w:rPr>
          <w:rFonts w:ascii="Palatino Linotype" w:hAnsi="Palatino Linotype" w:cs="Arial"/>
          <w:lang w:val="az-Latn-AZ"/>
        </w:rPr>
        <w:t xml:space="preserve"> internet </w:t>
      </w:r>
      <w:r w:rsidRPr="00263268">
        <w:rPr>
          <w:rFonts w:ascii="Palatino Linotype" w:hAnsi="Palatino Linotype" w:cs="Arial"/>
          <w:lang w:val="az-Latn-AZ"/>
        </w:rPr>
        <w:t>səhifəsində real vaxt rejimində təqdim edir.</w:t>
      </w:r>
    </w:p>
    <w:p w14:paraId="56F4B6BC" w14:textId="77777777" w:rsidR="005E5939" w:rsidRPr="00263268" w:rsidRDefault="005E5939" w:rsidP="005E5939">
      <w:pPr>
        <w:jc w:val="center"/>
        <w:rPr>
          <w:rFonts w:ascii="Palatino Linotype" w:hAnsi="Palatino Linotype" w:cs="Arial"/>
          <w:b/>
          <w:lang w:val="az-Latn-AZ"/>
        </w:rPr>
      </w:pPr>
    </w:p>
    <w:p w14:paraId="0513268A" w14:textId="77777777" w:rsidR="005E5939" w:rsidRDefault="005E5939" w:rsidP="005E5939">
      <w:pPr>
        <w:tabs>
          <w:tab w:val="center" w:pos="4932"/>
          <w:tab w:val="left" w:pos="6780"/>
        </w:tabs>
        <w:jc w:val="center"/>
        <w:rPr>
          <w:rFonts w:ascii="Palatino Linotype" w:hAnsi="Palatino Linotype" w:cs="Arial"/>
          <w:b/>
          <w:lang w:val="az-Latn-AZ"/>
        </w:rPr>
      </w:pPr>
      <w:r w:rsidRPr="00263268">
        <w:rPr>
          <w:rFonts w:ascii="Palatino Linotype" w:hAnsi="Palatino Linotype" w:cs="Arial"/>
          <w:b/>
          <w:lang w:val="az-Latn-AZ"/>
        </w:rPr>
        <w:t>2. Əsas anlayışlar</w:t>
      </w:r>
    </w:p>
    <w:p w14:paraId="4ABA203F" w14:textId="77777777" w:rsidR="005E5939" w:rsidRPr="00263268" w:rsidRDefault="005E5939" w:rsidP="005E5939">
      <w:pPr>
        <w:tabs>
          <w:tab w:val="center" w:pos="4932"/>
          <w:tab w:val="left" w:pos="6780"/>
        </w:tabs>
        <w:jc w:val="center"/>
        <w:rPr>
          <w:rFonts w:ascii="Palatino Linotype" w:hAnsi="Palatino Linotype" w:cs="Arial"/>
          <w:b/>
          <w:lang w:val="az-Latn-AZ"/>
        </w:rPr>
      </w:pPr>
    </w:p>
    <w:p w14:paraId="6173FFDB" w14:textId="77777777" w:rsidR="005E5939" w:rsidRPr="00263268" w:rsidRDefault="005E5939" w:rsidP="005E5939">
      <w:pPr>
        <w:ind w:firstLine="540"/>
        <w:jc w:val="both"/>
        <w:rPr>
          <w:rFonts w:ascii="Palatino Linotype" w:hAnsi="Palatino Linotype" w:cs="Arial"/>
          <w:bCs/>
          <w:lang w:val="az-Latn-AZ"/>
        </w:rPr>
      </w:pPr>
      <w:r w:rsidRPr="00263268">
        <w:rPr>
          <w:rFonts w:ascii="Palatino Linotype" w:hAnsi="Palatino Linotype" w:cs="Arial"/>
          <w:bCs/>
          <w:lang w:val="az-Latn-AZ"/>
        </w:rPr>
        <w:t xml:space="preserve">2.0. </w:t>
      </w:r>
      <w:r w:rsidRPr="00263268">
        <w:rPr>
          <w:rFonts w:ascii="Palatino Linotype" w:hAnsi="Palatino Linotype" w:cs="Arial"/>
          <w:bCs/>
          <w:lang w:val="tr-TR"/>
        </w:rPr>
        <w:t>Bu hesabat formasının məqsədləri üçün aşağıdakı anlayışlardan istifadə edilir:</w:t>
      </w:r>
    </w:p>
    <w:p w14:paraId="3A2B4EC6"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2.0.1. telekommunikasiya</w:t>
      </w:r>
      <w:r w:rsidRPr="00263268">
        <w:rPr>
          <w:rFonts w:ascii="Palatino Linotype" w:hAnsi="Palatino Linotype" w:cs="Arial"/>
          <w:lang w:val="az-Latn-AZ"/>
        </w:rPr>
        <w:t xml:space="preserve"> - elektrik və ya elektromaqnit rabitə vasitələri (kabel, optik və radio əlaqəsi və digər vasitələr) ilə hər hansı siqnalın, səsin və təsvirin məsafəyə ötürülməsi və qəbul edilməsidir;</w:t>
      </w:r>
    </w:p>
    <w:p w14:paraId="2A79D01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2.0.2. telekommunikasiya şəbəkəsi</w:t>
      </w:r>
      <w:r w:rsidRPr="00263268">
        <w:rPr>
          <w:rFonts w:ascii="Palatino Linotype" w:hAnsi="Palatino Linotype" w:cs="Arial"/>
          <w:lang w:val="az-Latn-AZ"/>
        </w:rPr>
        <w:t xml:space="preserve"> - telekommunikasiyanın təmin edilməsi üçün vahid texniki və texnoloji sistemdə birləşdirilmiş müxtəlif növ vasitə və qurğuların məcmusudur; </w:t>
      </w:r>
    </w:p>
    <w:p w14:paraId="1E307A6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2.0.3. telefon (məftilli) xidməti</w:t>
      </w:r>
      <w:r w:rsidRPr="00263268">
        <w:rPr>
          <w:rFonts w:ascii="Palatino Linotype" w:hAnsi="Palatino Linotype" w:cs="Arial"/>
          <w:lang w:val="az-Latn-AZ"/>
        </w:rPr>
        <w:t xml:space="preserve"> - hərəkətsiz (stasionar) son avadanlıqdan istifadə etməklə göstərilən telekommunikasiya xidmətidir;</w:t>
      </w:r>
    </w:p>
    <w:p w14:paraId="44D5049B"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2.0.4. sellülar (mobil) xidmət</w:t>
      </w:r>
      <w:r w:rsidRPr="00263268">
        <w:rPr>
          <w:rFonts w:ascii="Palatino Linotype" w:hAnsi="Palatino Linotype" w:cs="Arial"/>
          <w:b/>
          <w:lang w:val="az-Latn-AZ"/>
        </w:rPr>
        <w:t xml:space="preserve"> </w:t>
      </w:r>
      <w:r w:rsidRPr="00263268">
        <w:rPr>
          <w:rFonts w:ascii="Palatino Linotype" w:hAnsi="Palatino Linotype" w:cs="Arial"/>
          <w:lang w:val="az-Latn-AZ"/>
        </w:rPr>
        <w:t>- istifadəçinin son avadanlığı telekommunikasiya şəbəkəsinin bütün son nöqtələri çərçivəsində sərbəst hərəkət edərək mobil stansiyanın məxsusiləşdirmə kodunu saxlamaqla radiotexnologiyaları tətbiq etməklə göstərilən telekommunikasiya xidmətidir;</w:t>
      </w:r>
    </w:p>
    <w:p w14:paraId="3B1E8ED1"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2.0.5. radiotrank və simsiz telefon xidməti</w:t>
      </w:r>
      <w:r w:rsidRPr="00263268">
        <w:rPr>
          <w:rFonts w:ascii="Palatino Linotype" w:hAnsi="Palatino Linotype" w:cs="Arial"/>
          <w:lang w:val="az-Latn-AZ"/>
        </w:rPr>
        <w:t xml:space="preserve"> - istifadəçinin son avadanlığının telekommunikasiya şəbəkəsinin bir kommutasiya mərkəzinə qoşulmuş son nöqtələri hüdudlarında sərbəst hərəkət etməklə və məxsusiləşdirmə kodunu saxlamaqla radiotexnologiyalardan istifadə etməklə göstərilən telekommunikasiya xidmətidir;</w:t>
      </w:r>
    </w:p>
    <w:p w14:paraId="1E59BFF8"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2.0.6. ölkədaxili və beynəlxalq telekommunikasiya xidməti</w:t>
      </w:r>
      <w:r w:rsidRPr="00263268">
        <w:rPr>
          <w:rFonts w:ascii="Palatino Linotype" w:hAnsi="Palatino Linotype" w:cs="Arial"/>
          <w:lang w:val="az-Latn-AZ"/>
        </w:rPr>
        <w:t xml:space="preserve"> - ölkə daxilində, o cümlədən respublikanın ayrı-ayrı şəhərləri və rayonları arasında, beynəlxalq </w:t>
      </w:r>
      <w:r w:rsidRPr="00263268">
        <w:rPr>
          <w:rFonts w:ascii="Palatino Linotype" w:hAnsi="Palatino Linotype" w:cs="Arial"/>
          <w:lang w:val="az-Latn-AZ"/>
        </w:rPr>
        <w:lastRenderedPageBreak/>
        <w:t>telekommunikasiya xidməti isə ölkədən xaricə və xaricdən ölkəyə müxtəlif vasitələrlə (kabel, radiorele, peyk və sair) telekommunikasiyanın yaradılması məqsədilə göstərilən xidmətdir;</w:t>
      </w:r>
    </w:p>
    <w:p w14:paraId="742650F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2.0.7. internet telekommunikasiya xidməti</w:t>
      </w:r>
      <w:r w:rsidRPr="00263268">
        <w:rPr>
          <w:rFonts w:ascii="Palatino Linotype" w:hAnsi="Palatino Linotype" w:cs="Arial"/>
          <w:lang w:val="az-Latn-AZ"/>
        </w:rPr>
        <w:t xml:space="preserve"> - beynəlxalq standartlarla müəyyən olunan İnternet protokol əsasında qlobal informasiya şəbəkəsində göstərilən telekommunikasiya xidmətidir;</w:t>
      </w:r>
    </w:p>
    <w:p w14:paraId="7CFD7663"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2.0.8. poçt rabitəsi xidmətləri</w:t>
      </w:r>
      <w:r w:rsidRPr="00263268">
        <w:rPr>
          <w:rFonts w:ascii="Palatino Linotype" w:hAnsi="Palatino Linotype" w:cs="Arial"/>
          <w:lang w:val="az-Latn-AZ"/>
        </w:rPr>
        <w:t xml:space="preserve"> - poçt göndərişlərinin qəbulu, çeşidlənməsi, saxlanılması, daşınması, göndərilməsi və ünvan sahibinə çatdırılması fəaliyyətidir;</w:t>
      </w:r>
    </w:p>
    <w:p w14:paraId="22B39FA4"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2.0.9. xüsusi poçt rabitəsi xidməti</w:t>
      </w:r>
      <w:r w:rsidRPr="00263268">
        <w:rPr>
          <w:rFonts w:ascii="Palatino Linotype" w:hAnsi="Palatino Linotype" w:cs="Arial"/>
          <w:lang w:val="az-Latn-AZ"/>
        </w:rPr>
        <w:t xml:space="preserve"> - “Dövlət sirri haqqında” Azərbaycan Respublikasının Qanunu ilə qorunan məlumatların, qiymətli metalların, qiymətli daşların, zərgərlik məmulatlarının, qiymətli kağızların və xüsusi yüklərin göndərildiyi poçt göndərişlərinin qəbulu, çeşidlənməsi, saxlanması, daşınması və ünvan sahiblərinə çatdırılması sahəsində fəaliyyətdir;</w:t>
      </w:r>
    </w:p>
    <w:p w14:paraId="60000AC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2.0.10. trafik</w:t>
      </w:r>
      <w:r w:rsidRPr="00263268">
        <w:rPr>
          <w:rFonts w:ascii="Palatino Linotype" w:hAnsi="Palatino Linotype" w:cs="Arial"/>
          <w:lang w:val="az-Latn-AZ"/>
        </w:rPr>
        <w:t xml:space="preserve"> - telekommunikasiya şəbəkəsində və ya telekommunikasiya şəbəkələri arasında ötürülən siqnallar (məlumatlar) toplusudur.</w:t>
      </w:r>
    </w:p>
    <w:p w14:paraId="7CAB4B76" w14:textId="77777777" w:rsidR="005E5939" w:rsidRPr="00263268" w:rsidRDefault="005E5939" w:rsidP="005E5939">
      <w:pPr>
        <w:jc w:val="center"/>
        <w:rPr>
          <w:rFonts w:ascii="Palatino Linotype" w:hAnsi="Palatino Linotype" w:cs="Arial"/>
          <w:b/>
          <w:lang w:val="az-Latn-AZ"/>
        </w:rPr>
      </w:pPr>
    </w:p>
    <w:p w14:paraId="527AEAC6" w14:textId="77777777" w:rsidR="005E5939" w:rsidRDefault="005E5939" w:rsidP="005E5939">
      <w:pPr>
        <w:jc w:val="center"/>
        <w:rPr>
          <w:rFonts w:ascii="Palatino Linotype" w:hAnsi="Palatino Linotype" w:cs="Arial"/>
          <w:b/>
          <w:lang w:val="az-Latn-AZ"/>
        </w:rPr>
      </w:pPr>
      <w:r w:rsidRPr="00263268">
        <w:rPr>
          <w:rFonts w:ascii="Palatino Linotype" w:hAnsi="Palatino Linotype" w:cs="Arial"/>
          <w:b/>
          <w:lang w:val="az-Latn-AZ"/>
        </w:rPr>
        <w:t>3. Hesabat formasının doldurulmasına dair izahlar</w:t>
      </w:r>
    </w:p>
    <w:p w14:paraId="508D7FFA" w14:textId="77777777" w:rsidR="005E5939" w:rsidRPr="00263268" w:rsidRDefault="005E5939" w:rsidP="005E5939">
      <w:pPr>
        <w:jc w:val="center"/>
        <w:rPr>
          <w:rFonts w:ascii="Palatino Linotype" w:hAnsi="Palatino Linotype" w:cs="Arial"/>
          <w:b/>
          <w:lang w:val="az-Latn-AZ"/>
        </w:rPr>
      </w:pPr>
    </w:p>
    <w:p w14:paraId="5F736FB0" w14:textId="77777777" w:rsidR="005E5939" w:rsidRDefault="005E5939" w:rsidP="005E5939">
      <w:pPr>
        <w:jc w:val="center"/>
        <w:rPr>
          <w:rFonts w:ascii="Palatino Linotype" w:hAnsi="Palatino Linotype" w:cs="Arial"/>
          <w:b/>
          <w:lang w:val="az-Latn-AZ"/>
        </w:rPr>
      </w:pPr>
      <w:r w:rsidRPr="00263268">
        <w:rPr>
          <w:rFonts w:ascii="Palatino Linotype" w:hAnsi="Palatino Linotype" w:cs="Arial"/>
          <w:b/>
          <w:lang w:val="az-Latn-AZ"/>
        </w:rPr>
        <w:t>3.1. I bölmə. Rabitə xidmətlərinin dəyər ifadəsində həcmi</w:t>
      </w:r>
    </w:p>
    <w:p w14:paraId="6A9092EB" w14:textId="77777777" w:rsidR="005E5939" w:rsidRPr="00263268" w:rsidRDefault="005E5939" w:rsidP="005E5939">
      <w:pPr>
        <w:jc w:val="center"/>
        <w:rPr>
          <w:rFonts w:ascii="Palatino Linotype" w:hAnsi="Palatino Linotype" w:cs="Arial"/>
          <w:b/>
          <w:lang w:val="az-Latn-AZ"/>
        </w:rPr>
      </w:pPr>
    </w:p>
    <w:p w14:paraId="4761355C"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 xml:space="preserve">3.1.1. </w:t>
      </w:r>
      <w:r w:rsidRPr="00263268">
        <w:rPr>
          <w:rFonts w:ascii="Palatino Linotype" w:hAnsi="Palatino Linotype" w:cs="Arial"/>
          <w:lang w:val="az-Latn-AZ"/>
        </w:rPr>
        <w:t>1-ci sütunda əlavə dəyər vergisi (ƏDV) nəzərə alınmadan göstərilmiş rabitə xidmətlərinin dəyər ifadəsində cəmi, o cümlədən 2-ci sütunda əhaliyə göstərilmiş rabitə xidmətlərinin həcmi göstərilir.</w:t>
      </w:r>
    </w:p>
    <w:p w14:paraId="7748EB27"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3.1.2. Sətir 1-də rabitə müəssisələri tərəfindən göstərilən xidmətlərin ümumi həcmi qeyd olunur.</w:t>
      </w:r>
    </w:p>
    <w:p w14:paraId="4372241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3.1.3. Poçt rabitəsinin bütün fəaliyyətindən əldə olunan gəlirlər sətir 2-də, o cümlədən sətir 3-də poçt ödəniş nişanlarının satışından, sətir 4-də dövri mətbuatın abunəsindən, pərakəndə satışından, yayılması, çatdırılması və yenidən ünvanlaşdırılmasından, sətir 5-də qiyməti bəyan edilmiş məktub və banderolların göndərilməsindən (ondan sətir 6-da beynəlxalq), sətir 7-də bağlamalardan (ondan sətir 8-də beynəlxalq), sətir 9-da kiçik paketlərdən, sətir 10-da pul baratlarının göndərilməsindən (ondan sətir 11-də beynəlxalq), sətir 12-də kommunal xidmət haqlarının yığılmasından (ondan sətir 13-də elektrik enerjisi haqlarının yığılmasından, sətir 14-də su və kanalizasiya haqlarının yığılmasından, sətir 15-də qaz xidməti haqlarının yığılmasından), sətir 16-da digər kommunal haqlarının yığımından, sürətli poçt xidmətlərindən əldə olunan gəlir sətir 17-də (ondan sətir 18-də beynəlxalq), sətir 19-da kuryer xidmətlərindən, sətir 20-də şəhərlərarası telefon danışıq haqlarının yığılmasından, sətir 21-də telefon abunə haqlarının yığılmasından, sətir 22-də 3-21-ci sətirdə sadalanan poçt xidmətlərindən başqa digər poçt xidməti sahələrindən əldə edilmiş gəlirlər qeyd olunur.</w:t>
      </w:r>
    </w:p>
    <w:p w14:paraId="0CE04A93"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lastRenderedPageBreak/>
        <w:t xml:space="preserve">3.1.4. Sətir 23-də xüsusi poçt rabitəsi üzrə əldə olunan gəlirlərin həcmi qeyd olunur. </w:t>
      </w:r>
    </w:p>
    <w:p w14:paraId="13999B4F"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3.1.5. Sətir 24-də sənədli elektrik rabitəsi üzrə əldə olunan cəmi gəlirlər, o cümlədən sətir 25-də teleqramların göndərilməsindən, sətir 26-da digər xidmətlərdən əldə olunan gəlirlər göstərilir.</w:t>
      </w:r>
    </w:p>
    <w:p w14:paraId="06E7D821"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3.1.6. Şəhərlərarası və beynəlxalq telefon rabitəsi üzrə əldə olunan gəlirlərin ümumi həcmi sətir 27-də əks olunur. Ölkə ərazisində aparılan şəhərlərarası telefon danışıqları üzrə sətir 28-də, mobil şəbəkəyə çıxışdan sətir 29-da, beynəlxalq telefon danışıqlarından sətir 30-da, telefon kanallarının istifadəyə verilməsindən sətir 31-də, şəhərlərarası və universal taksofonlarla aparılan danışıqlardan sətir 32-də (ondan sətir 33-də beynəlxalq) və digər xidmətlərdən əldə olunan gəlirlər sətir 34-də göstərilir.</w:t>
      </w:r>
    </w:p>
    <w:p w14:paraId="075B26D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3.1.7. 35-ci sətirdə şəhər telefon rabitəsi üzrə xidmətlərin ümumi həcmi, o cümlədən sətir 36-da telefon çəkilişindən, sətir 37-də abunə haqqından, sətir 38-də birbaşa birləşdirici xətlərdən, sətir 39-da sorğu məlumat xidmətlərindən, sətir 40-da servis xidmətlərindən, sətir 41-də şəhər taksofonlarından, sətir 42-də şəhər telefon rabitəsi üzrə digər xidmətlərdən əldə olunan gəlirlər göstərilir.</w:t>
      </w:r>
    </w:p>
    <w:p w14:paraId="4EED7FBC"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3.1.8. Kənd telefon rabitəsi üzrə xidmətlərin ümumi həcmi sətir 43-də, o cümlədən sətir 44-də telefon çəkilişindən, sətir 45-də abunə haqqından, sətir 46-da kənd telefon rabitəsi üzrə digər xidmətlərdən əldə olunan gəlirlər uçota alınır.</w:t>
      </w:r>
    </w:p>
    <w:p w14:paraId="084A3EA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3.1.9. 47-ci sətirdə audiovizual yayım və peyk rabitəsi üzrə xidmətlərin ümumi həcmi göstərilir. Bu məbləğdən 48-ci sətirdə radio proqramlarının qəbulu və ötürülməsindən, 49-cu sətirdə televiziya proqramlarının qəbulu və ötürülməsindən, o cümlədən sətir 50-də kabel televiziyasından, sətir 51-də rəqəmsal TV yayımından, 52-ci sətirdə peyk kanallarının istifadəyə verilməsindən, o cümlədən sətir 53-də peyk radio proqramlarının qəbulu və ötürülməsindən, sətir 54-də peyk televiziya proqramlarının </w:t>
      </w:r>
      <w:r>
        <w:rPr>
          <w:rFonts w:ascii="Palatino Linotype" w:hAnsi="Palatino Linotype" w:cs="Arial"/>
          <w:lang w:val="az-Latn-AZ"/>
        </w:rPr>
        <w:t>qəbulu və ötürülməsindən, sətir</w:t>
      </w:r>
      <w:r w:rsidRPr="00263268">
        <w:rPr>
          <w:rFonts w:ascii="Palatino Linotype" w:hAnsi="Palatino Linotype" w:cs="Arial"/>
          <w:lang w:val="az-Latn-AZ"/>
        </w:rPr>
        <w:t xml:space="preserve"> 55-də peyk internet xidmətlərinin göstərilməsindən, sətir 56-da peyk data xidmətlərinin göstərilməsindən, sətir 57-də isə digər xidmətlərdən əldə olunan gəlirlər əks olunur. </w:t>
      </w:r>
    </w:p>
    <w:p w14:paraId="2351F046"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3.1.10. Sətir 58-də radiotezliklərin ayrılması, qeydiyyatı, istismarı və nəzarəti üzrə xidmətlərin həcmi, ondan sətir 59-da radiotezliklərin istismarından əldə olunan gəlirlər göstərilir.</w:t>
      </w:r>
    </w:p>
    <w:p w14:paraId="197B66F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3.1.11. Mobil telefon rabitəsi istisna olmaqla radiorabitədən əldə olunan gəlirlərin həcmi sətir 60-da göstərilir. Bu məbləğdən sətir 61-də trank, sətir 62-də radiotelefon xidmətlərindən və sətir 63-də digər xidmətlərindən əldə olunan gəlirlər ayrı-ayrılıqda qeyd olunur.</w:t>
      </w:r>
    </w:p>
    <w:p w14:paraId="2E2A4B7B"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3.1.12. Sətir 64-də mobil telefon rabitəsi üzrə xidmətlərin həcmi, o cümlədən sətir 65-də ölkədaxili danışıqlardan, sətir 66-da beynəlxalq danışıqlardan, sətir 67-də SMS-lərdən, sətir 68-də data xidmətlərindən, sətir 69-da isə mobil rabitə üzrə digər xidmətlərdən əldə olunan gəlirlər qeyd olunur.</w:t>
      </w:r>
    </w:p>
    <w:p w14:paraId="279E6C2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3.1.13. 64-cü sətirdən yerli (ölkədaxili) abunəçilər üçün nəzərdə tutulmuş beynəlxalq rouminq xidmətlərinin həcmi sətir 70-də, xarici ölkə vətəndaşları üçün </w:t>
      </w:r>
      <w:r w:rsidRPr="00263268">
        <w:rPr>
          <w:rFonts w:ascii="Palatino Linotype" w:hAnsi="Palatino Linotype" w:cs="Arial"/>
          <w:lang w:val="az-Latn-AZ"/>
        </w:rPr>
        <w:lastRenderedPageBreak/>
        <w:t>nəzərdə tutulmuş ölkə daxilində beynəlxalq rouminq xidmətlərinin həcmi isə sətir 71-də qeyd olunur.</w:t>
      </w:r>
    </w:p>
    <w:p w14:paraId="03A8C08F"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3.1.14. Genişzolaqlı mobil xidmətlərdən əldə olunan gəlirlər sətir 72-də göstərilir.</w:t>
      </w:r>
    </w:p>
    <w:p w14:paraId="7BEFE8F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3.1.15. İnternet xidmətlərindən əldə olunan cəmi gəlirlər sətir 73-də göstərilir. Genişzolaqlı internet xidmətlərinin göstərilməsi üzrə yaradılan gəlirlərin həcmi sətir 74-də, həmçinin ADSL və HDSL xidmətləri üzrə sətir 75-də, GPON xidmətləri üzrə sətir 76-da, ayrılmış internet xidmətlərindən əldə olunan gəlirlərin həcmi sətir 77-də, digər internet xidmətlərindən əldə olunan gəlir isə sətir 78-də uçota alınır. GPON (Gigabit Passive Optical Network – Gigabit tutumlu Passiv Optik Şəbəkə) internet xidməti fiber optik xətləri üzərindən təmin edilir. </w:t>
      </w:r>
    </w:p>
    <w:p w14:paraId="3DCA373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3.1.16. Sətir 79-da məlumatların ötürülməsi (data) xidmətlərindən əldə olunan gəlirlər, sətir 80-də isə IP TV xidmətləri üzrə gəlirlərin həcmi qeyd olunur.</w:t>
      </w:r>
    </w:p>
    <w:p w14:paraId="11B4CB7E"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3.1.17. Sətir 81-də CDMA texnologiyalı rabitə xidmətləri üzrə əldə olunan gəlirlər qeyd olunur. </w:t>
      </w:r>
    </w:p>
    <w:p w14:paraId="5FEF4F14"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3.1.18. Sətir 82-də elektron xidmətlərin göstərilməsi üzrə xidmətlərin həcmi göstərilir.</w:t>
      </w:r>
    </w:p>
    <w:p w14:paraId="7AB995D8"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3.1.19. Sətir 83-də yuxarıda sadalanan rabitə xidmətlərinə daxil olmayan digər rabitə xidmətləri üzrə əldə olunan gəlirlərin həcmi qeyd olunur.</w:t>
      </w:r>
    </w:p>
    <w:p w14:paraId="3CB668AB"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3.1.20. Rabitə xidmətlərinə çəkilən xərclərin həcmi isə sətir 84-də göstərilir.</w:t>
      </w:r>
    </w:p>
    <w:p w14:paraId="3CDA42DC" w14:textId="77777777" w:rsidR="005E5939" w:rsidRPr="00263268" w:rsidRDefault="005E5939" w:rsidP="005E5939">
      <w:pPr>
        <w:jc w:val="center"/>
        <w:rPr>
          <w:rFonts w:ascii="Palatino Linotype" w:hAnsi="Palatino Linotype" w:cs="Arial"/>
          <w:b/>
          <w:lang w:val="az-Latn-AZ"/>
        </w:rPr>
      </w:pPr>
    </w:p>
    <w:p w14:paraId="1C43CA7D" w14:textId="77777777" w:rsidR="005E5939" w:rsidRDefault="005E5939" w:rsidP="005E5939">
      <w:pPr>
        <w:jc w:val="center"/>
        <w:rPr>
          <w:rFonts w:ascii="Palatino Linotype" w:hAnsi="Palatino Linotype" w:cs="Arial"/>
          <w:b/>
          <w:lang w:val="az-Latn-AZ"/>
        </w:rPr>
      </w:pPr>
      <w:r w:rsidRPr="00263268">
        <w:rPr>
          <w:rFonts w:ascii="Palatino Linotype" w:hAnsi="Palatino Linotype" w:cs="Arial"/>
          <w:b/>
          <w:lang w:val="az-Latn-AZ"/>
        </w:rPr>
        <w:t>3.2. II bölmə. Rabitə xidmətlərinin natura ifadəsində həcmi</w:t>
      </w:r>
    </w:p>
    <w:p w14:paraId="6FBBEBB5" w14:textId="77777777" w:rsidR="005E5939" w:rsidRPr="00263268" w:rsidRDefault="005E5939" w:rsidP="005E5939">
      <w:pPr>
        <w:jc w:val="center"/>
        <w:rPr>
          <w:rFonts w:ascii="Palatino Linotype" w:hAnsi="Palatino Linotype" w:cs="Arial"/>
          <w:b/>
          <w:lang w:val="az-Latn-AZ"/>
        </w:rPr>
      </w:pPr>
    </w:p>
    <w:p w14:paraId="174E77D7"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3.2.1. 1-ci sütunda göstərilmiş xidmətlərin natura ifadəsində həcmi, o cümlədən 2-ci sütunda əhaliyə göstərilmiş rabitə xidmətlərinin həcmi göstərilir.</w:t>
      </w:r>
    </w:p>
    <w:p w14:paraId="38583AF6"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3.2.2. Sətir 85-də genişzolaqlı, yüksəksürətli rabitə avadanlıqlarının tutumu, ondan sətir 86-da ISDN avadanlıqlarının tutumu, sətir 87-də ADSL və HDSL avadanlıqlarının tutumu, sətir 88-də GPON avadanlıqlarının tutumu, sətir 89-da isə simsiz texnologiyalar (LTE, WiFi və s.) üzrə avadanlıqların tutumu qeyd olunur.</w:t>
      </w:r>
    </w:p>
    <w:p w14:paraId="2BDAD0A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 Sətir 90-da ISDN komplektlərinin sayı, sətir 91-də ADSL və HDSL komplektlərinin sayı, sətir 92-də isə GPON avadanlıqlarının (MSAN, ONU, ODU və s.) sayı göstərili</w:t>
      </w:r>
      <w:r>
        <w:rPr>
          <w:rFonts w:ascii="Palatino Linotype" w:hAnsi="Palatino Linotype" w:cs="Arial"/>
          <w:lang w:val="az-Latn-AZ"/>
        </w:rPr>
        <w:t>r.</w:t>
      </w:r>
    </w:p>
    <w:p w14:paraId="04825B2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3.2.4. Sətir 93-də peyk avadanlıqlarının sayı, ondan sətir 94-də mini ATS-lərlə təmin olunmuş avadanlıqların sayı daxil edilir. Sətir 95-də peyk avadanlıqlarının tutumu, sətir 96-da isə peyk avadanlıqlarına qoşulan sabit şəbəkə telefonlarının sayı qeyd olunur.</w:t>
      </w:r>
    </w:p>
    <w:p w14:paraId="17EE9BA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3.2.5. 97-ci sətirdə radiotelefon xidmətindən istifadə edən abunəçilərin sayı qeyd olunur. </w:t>
      </w:r>
    </w:p>
    <w:p w14:paraId="37D695B6"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3.2.6. Sətir 98-də sabit şəbəkədən və mobil telefonlar üzrə ölkə xaricinə çıxış, sətir 99-da isə sabit şəbəkəyə və mobil telefonlara xarici ölkələrdən giriş trafiki qeyd olunur. Onlarda sabit şəbəkədən çıxış trafiki sətir 100-də, giriş trafiki sətir 101-də göstərilir.</w:t>
      </w:r>
    </w:p>
    <w:p w14:paraId="3E3A2F8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lastRenderedPageBreak/>
        <w:t>3.2.7. Sətir 102-də mobil telefon rabitəsi xidmətindən istifadə edən abunəçilərin sayı, o cümlədən sətir 103-də aktiv abunəçilərin sayı, sətir 104-də hesabat rübündə aktiv olmayan abunəçilərin sayı göstərilir.</w:t>
      </w:r>
    </w:p>
    <w:p w14:paraId="593D06CF"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3.2.8. Mobil telefon rabitəsi xidmətindən istifadə edən fakturalı abunəçilərin sayı sətir 105-də, fakturasız abunəçilərin sayı isə sətir 106-da qeyd olunur. </w:t>
      </w:r>
    </w:p>
    <w:p w14:paraId="153B0DB7"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3.2.9. Sətir 107-də mobil telefon üzrə ümumi trafiklərin həcmi, o cümlədən, sətir 108-də giriş trafiklərinin, sətir 109-da çıxış trafiklərinin həcmi göstərilir.</w:t>
      </w:r>
    </w:p>
    <w:p w14:paraId="1589E92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3.2.10. 107-ci sətrin məlumatlarından yerli abunəçilərin beynəlxalq rouminq trafiklərinin həcmi sətir 110-da, xarici ölkə vətəndaşlarının ölkə daxilində beynəlxalq rouminq trafiklərinin həcmi sətir 111-də göstərilir.</w:t>
      </w:r>
    </w:p>
    <w:p w14:paraId="66C1E4B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3.2.11. Sətir 112-də mobil telefon üzrə şəbəkədaxili çıxış trafiklərinin həcmi, sətir 113-də digər operatorlar üzrə çıxış trafikinin həcmi qeyd olunur. </w:t>
      </w:r>
    </w:p>
    <w:p w14:paraId="37711E9F"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3.2.12. Sətir 114-də ölkə daxilində mobil abunəçilər tərəfindən edilən ümumi zənglərin davametmə müddəti min dəqiqə ilə göstərilir. Bu göstəriciyə həm sabit şəbəkə telefonlarına, həm də mobil telefonlara edilmiş zənglər daxildir. </w:t>
      </w:r>
    </w:p>
    <w:p w14:paraId="09B08C3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3.2.13. Sətir 115-də ölkə daxilində mobil telefon şəbəkəsindən sabit telefon şəbəkəsinə edilən zənglərin müddəti qeyd olunur. Sözügedən göstərici üzrə ölkə daxilində mobil şəbəkələrdən başlayan və sabit telefon şəbəkələrində sona çatan dəqiqələrin miqdarı nəzərə alınır. </w:t>
      </w:r>
    </w:p>
    <w:p w14:paraId="54FEB96B"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3.2.14. Sətir 116-da ölkə daxilində mobil telefon vasitəsilə ölkə xaricinə edilən zənglərin müddəti göstərilir. </w:t>
      </w:r>
    </w:p>
    <w:p w14:paraId="4B1C2F9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3.2.15. Sətir 117-də ölkə abunəçilərinin mobil telefonlarına ölkə xaricindən (sabit şəbəkə telefonlarından və mobil telefonlardan) daxil olan zənglərin müddəti min dəqiqə ilə qeyd olunur. </w:t>
      </w:r>
    </w:p>
    <w:p w14:paraId="135B698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3.2.16. 118-ci sətirdə ölkə daxilində 3G və ya 4G şəbəkələrindən və ya digər daha qabaqcıl mobil şəbəkələrdən mənbələnən genişzolaqlı trafik həcmləri qeyd olunur. Giriş və çıxış trafiki cəmlənməli və birlikdə göstərilməlidir. Trafik son istifadəçinin qoşulma məntəqəsində ölçülməlidir. Trafik gigabyte (GB) ilə göstərilməlidir. </w:t>
      </w:r>
    </w:p>
    <w:p w14:paraId="34EC7BE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3.2.17. 119-cu sətirdə ölkə xaricində 3G və ya 4G şəbəkələrindən və ya digər daha qabaqcıl mobil şəbəkələrdən mənbələnən genişzolaqlı trafik həcmləri göstərilir. Trafik son istifadəçinin qoşulma məntəqəsində ölçülməlidir. Trafik gigabyte (GB) ilə göstərilməlidir. </w:t>
      </w:r>
    </w:p>
    <w:p w14:paraId="6F59D2D6"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3.2.18. 120-ci sətirdə mobil operator şəbəkəsi üzrə göndərilən SMS-lərin sayı (onlardan sətir 121-də beynəlxalq), sətir 122-də daxil olan SMS-lərin sayı göstərilir.</w:t>
      </w:r>
    </w:p>
    <w:p w14:paraId="63FA42FE"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3.2.19. 123-cü sətirdə bir saniyədə endirilən məlumatların həcmi (bitlə) göstərilir. Mobil genişzolaqlı şəbəkədə məlumatın endirilməsinin (download) orta buraxılış qabiliyyəti dedikdə, bir saniyə ərzində mobil genişzolaqlı şəbəkədə yüklənmiş və endirilmiş məlumatların həcmi (bitlə) nəzərdə tutulur. Mobil genişzolaqlı şəbəkədə məlumatın endirilməsinin (download) illik orta buraxılış qabiliyyəti müəyyən zaman müddətində ötürülən məlumatların həcminin həmin vaxt müddətinə nisbətidir.</w:t>
      </w:r>
    </w:p>
    <w:p w14:paraId="12E8EFCE"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lastRenderedPageBreak/>
        <w:t xml:space="preserve">3.2.20. 124-cü sətirdə bir saniyədə yüklənən məlumatların həcmi (bitlə) qeyd olunur. Mobil genişzolaqlı şəbəkədə məlumatın yüklənməsinin (upload) orta buraxılış qabiliyyəti dedikdə, bir saniyə ərzində mobil genişzolaqlı şəbəkədə yüklənmiş və endirilmiş məlumatların həcmi (bitlə) nəzərdə tutulur. Mobil genişzolaqlı şəbəkədə məlumatın yüklənməsinin (upload) illik orta buraxılış qabiliyyəti müəyyən zaman müddətində ötürülən məlumatların həcminin həmin vaxt müddətinə nisbətidir. </w:t>
      </w:r>
    </w:p>
    <w:p w14:paraId="0D446A09"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3.2.21. 125-ci sətirdə mobil telefon və kompüter (USB modem vasitəsilə) vasitəsilə aktiv genişzolaqlı mobil abunəçilər tərəfindən internet şəbəkəsinə qoşulmaların sayı göstərilir. Burada son 90 gün ərzində internetə çıxışı olan və xidmətlərdən istifadə etmək üçün qoşulma haqlarını ödəyən abunəçilərin sayı nəzərə alınır. Buraya internetin yükləmə sürəti ən azı 256 kbit/s olan mobil genişzolaqlı abunəçilər daxildir (məsələn, WCDMA, HSPA, CDMA 2000, 1xEV-DO, WIMAX IEEE 802.16e və LTE). Yalnız GPRS, EDGE və CDMA 1xRTT-yə çıxışı olan abunəçilər bu kateqoriyaya aid deyil.</w:t>
      </w:r>
    </w:p>
    <w:p w14:paraId="14A49797"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3.2.22. 126-cı sətirdə son 90 gün ərzində LTE/WiMAX və digər qabaqcıl genişzolaqlı mobil şəbəkələrdə internet trafikini yaradan abunəçi qoşulmalarının sayı göstərilir. Burada HSPA, UMTS, EV-DO və 3G şəbəkələrində internet trafikini yaratmış abunəçi qoşulmaları, həmçinin stasionar WIMAX abunəçi qoşulmaları istisna edilir. </w:t>
      </w:r>
    </w:p>
    <w:p w14:paraId="095837C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3.2.23. 127-ci sətirdə səs və data xidmətlərini bir paket çərçivəsində istifadə edən abunəçilər (son 3 ay ərzində aktiv istifadəçi olmaqla) nəzərdə tutulur. Ayrıca internet paketindən istifadə edən abunəçilərin sayı bura daxil edilmir.</w:t>
      </w:r>
    </w:p>
    <w:p w14:paraId="186172F1"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3.2.24. 128-ci sətirdə internetə daxil olmaq üçün internet paketini (data kard, USB modem, WiFi dongle) əldə edən abunəçilərin sayı nəzərdə tutulur. Bura fakturasız mobil genişzolaqlı abunəçilər (son 3 ay ərzində aktiv istifadəçi olmaqla), həmçinin WiMAX abunəçiləri və xüsusi genişzolaqlı interneti əlavə paket kimi əldə edən səs xidmətləri üzrə abunəçilərin sayı daxildir. Bu göstəriciyə səs xidmətləri üzrə abunəçilər daxil edilməməlidir.</w:t>
      </w:r>
    </w:p>
    <w:p w14:paraId="6D833541"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3.2.25. 129-cu sətirdə maşınlarda və qurğularda (avtomobillərdə, sayğaclarda, məişət elektronikasında) istifadə üçün nəzərdə tutulan və maşınlarda quraşdırılan mobil abunəçi qoşulmalarının sayı göstərilir. </w:t>
      </w:r>
    </w:p>
    <w:p w14:paraId="5D9EF72C"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3.2.26. 130-cu sətirdə “ölkə əhalisinin mobil şəbəkə ilə əhatə faizi” göstəricisinə dair məlumat göstərilir. Bu göstərici abunəçi və ya istifadəçi olmasından asılı olmayaraq, mobil telefon siqnalının əhatə dairəsinə (diapazonuna) düşən sakinlərin faiz nisbəti kimi təyin olunur. Sözügedən göstərici hesablanarkən mobil telefon siqnalının əhatə dairəsinə düşən sakinlərin sayı əhalinin ümumi sayına bölünür və alınan nəticə 100-ə vurulur.</w:t>
      </w:r>
    </w:p>
    <w:p w14:paraId="367D36D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3.2.27. 131-ci sətirdə “ölkə əhalisinin 3G mobil şəbəkəsi ilə əhatə faizi” göstəricisinə dair məlumat qeyd olunur. Bu göstərici abunəçi və ya istifadəçi olmasından asılı olmayaraq, ən azı 3G mobil telefon siqnalının əhatə dairəsinə (diapazonuna) düşən sakinləri əks etdirir. Sözügedən göstərici hesablanarkən ən azı 3G mobil telefon siqnalının əhatə dairəsinə düşən sakinlərin sayı əhalinin ümumi sayına bölünür və alınan </w:t>
      </w:r>
      <w:r w:rsidRPr="00263268">
        <w:rPr>
          <w:rFonts w:ascii="Palatino Linotype" w:hAnsi="Palatino Linotype" w:cs="Arial"/>
          <w:lang w:val="az-Latn-AZ"/>
        </w:rPr>
        <w:lastRenderedPageBreak/>
        <w:t xml:space="preserve">nəticə 100-ə vurulur. Yalnız GPRS, EDGE və ya CDMA 1xRTT-yə çıxışı olan abunəçilər bu kateqoriyaya aid deyil. </w:t>
      </w:r>
    </w:p>
    <w:p w14:paraId="7CAE9AFE"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3.2.28. 132-ci sətirdə “ölkə əhalisinin LTE/WiMAX mobil şəbəkəsi ilə əhatə faizi” göstəricisi abunəçi olmasından asılı olmayaraq, LTE, mobil WiMAX/WiMAN və ya digər daha yüksək mobil telefon şəbəkəsinin əhatə dairəsində (diapazonunda) yaşayan sakinləri nəzərdə tutur. Bu göstərici hesablanarkən sözügedən yüksək texnologiyalarla əhatə olunmuş sakinlərin sayı əhalinin ümumi sayına bölünür və alınan nəticə 100-ə vurulur. Buraya yalnız HSPA, UMTS, EV-DO və əvvəlki 3G texnologiyaları, həmçinin sabit WiMAX ilə əhatə olunmuş əhali aid edilmir.</w:t>
      </w:r>
    </w:p>
    <w:p w14:paraId="517CF2E4"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3.2.29. 133-cü sətirdə hesabat ili ərzində mobil telefon şəbəkəsi üzrə digər operatora daşınmış mobil nömrələrin sayı qeyd olunur. 134-cü sətirdə hesabat ili ərzində mobil telefon şəbəkəsi üzrə digər operatordan daşınmış mobil nömrələrin sayı göstərilir.</w:t>
      </w:r>
    </w:p>
    <w:p w14:paraId="417EEEF8"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3.2.30. 135-ci sətirdə hesabat ilində mobil operator üzrə baş tutmayan zənglərin sayının mobil zəng cəhdlərinin ümumi sayına nisbətinin faizlə ifadəsi qeyd olunur. Baş tutmayan zəng xidmət zonasında istifadə olunan nömrəyə edilən zəng cəhdidir ki, bu halda zəng edilən tərəf məşğul olduğu üçün və ya çağırış zəngi zəng edilən abunəçinin nömrəsinin son rəqəmi şəbəkə tərəfindən qəbul edildikdən sonra 40 saniyə ərzində zəngə cavab verilmir. </w:t>
      </w:r>
    </w:p>
    <w:p w14:paraId="3DA26747"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3.2.31. 136-cı sətirdə trafik kanalına malik olan giriş və çıxış mobil telefon zənglərinin istifadəçi tərəfindən başa çatdırılmadan əvvəl texniki səbəbdən kəsilən hissəsinin faizlə ifadəsi göstərilir. Zəngin vaxtından əvvəl kəsilməsi operatorun şəbəkəsi ilə əlaqəlidir.</w:t>
      </w:r>
    </w:p>
    <w:p w14:paraId="1A60D7B3"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3.2.32. 137-ci sətirdə internet abunəçilərinin sayı qeyd olunur.</w:t>
      </w:r>
    </w:p>
    <w:p w14:paraId="103FBDC1"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3.2.33. Sətir 138-də genişzolaqlı, yüksəksürətli rabitə xidmətlərindən, o cümlədən sətir 139-da ISDN avadanlıqlarından istifadə etməklə internetə qoşulan abunəçilərin sayı, 140-cı sətirdə ADSL (asimmetrik rəqəmsal abunə xətti) və HDSL (sürətli rəqəmsal abunə xətti) abunəçilərinin sayı, 141-ci sətirdə GPON abunəçilərinin sayı, 142-ci sətirdə ayrılmış xətt ilə internetə qoşulan abunəçilərin sayı, 143-cü sətirdə isə simsiz texnologiyalar vasitəsilə internetə qoşulan abunəçilərin sayı göstərilir. Burada simsiz texnologiyalar vasitəsilə internetə qoşulan abunəçilərin sayı dedikdə LTE (long term evloution), WiFi və digər texnologiyalar vasitəsilə ödənişli internet xidmətlərindən istifadə edən abunəçilərin sayı nəzərdə tutulur. </w:t>
      </w:r>
    </w:p>
    <w:p w14:paraId="785F52C7"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3.2.34. 144-cü sətirdə bir saniyə ərzində endirilmiş məlumatların həcmi (bitlə) qeyd olunur. Ötürülən məlumatların həcminin (bitlə) ümumi zaman intervalına nisbəti kimi hesablanır. Endirmə qabiliyyəti bütün sabit şəbəkə texnologiyaları üçün, xDSL, WFBB, GPON, DTH Peyk daxil olmaqla, ölçülməlidir.</w:t>
      </w:r>
    </w:p>
    <w:p w14:paraId="7BF788F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3.2.35. 145-ci sətirdə bir saniyədə yüklənən məlumatların həcmi (bitlə) göstərilir. Sabit genişzolaqlı şəbəkədə məlumatın yüklənməsinin (upload) illik orta buraxılış qabiliyyəti dedikdə, bir saniyə ərzində sabit genişzolaqlı şəbəkədə yüklənmiş məlumatların həcmi ( bitlə) nəzərdə tutulur. Sabit genişzolaqlı şəbəkədə məlumatın </w:t>
      </w:r>
      <w:r w:rsidRPr="00263268">
        <w:rPr>
          <w:rFonts w:ascii="Palatino Linotype" w:hAnsi="Palatino Linotype" w:cs="Arial"/>
          <w:lang w:val="az-Latn-AZ"/>
        </w:rPr>
        <w:lastRenderedPageBreak/>
        <w:t>yüklənməsinin (upload) illik orta buraxılış qabiliyyəti müəyyən zaman müddətində ötürülən məlumatların həmin vaxt müddətinə nisbətidir.</w:t>
      </w:r>
    </w:p>
    <w:p w14:paraId="624D47B6"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3.2.36. 146-cı sətirdə sabit genişzolaqlı şəbəkədə paketin gecikmə vaxtı (millisaniyə ilə) qeyd olunur. Sabit genişzolaqlı şəbəkədə paketin gecikmə vaxtı dedikdə, ölkə daxilində paketin təyinat məntəqəsinə çatması və qayıtması (millisaniyə) vaxtı nəzərdə tutulur. Göstəricinin hesablanması üçün ümumi paketlərin gecikmə vaxtı (millisaniyə) testlərin sayına bölünür.</w:t>
      </w:r>
    </w:p>
    <w:p w14:paraId="49C4F9F1"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3.2.37. 147-ci sətirdə mobil genişzolaqlı şəbəkədə paketin gecikmə vaxtı (millisaniyə ilə) qeyd olunur. Mobil genişzolaqlı şəbəkədə paketin gecikmə vaxtı dedikdə, ölkə daxilində paketin təyinat məntəqəsinə çatması və qayıtması (millisaniyə) vaxtı nəzərdə tutulur. Göstəricinin hesablanması üçün ümumi paketlərin gecikmə vaxtı (millisan</w:t>
      </w:r>
      <w:r>
        <w:rPr>
          <w:rFonts w:ascii="Palatino Linotype" w:hAnsi="Palatino Linotype" w:cs="Arial"/>
          <w:lang w:val="az-Latn-AZ"/>
        </w:rPr>
        <w:t>iyə) testlərin sayına bölünür.</w:t>
      </w:r>
    </w:p>
    <w:p w14:paraId="24B570D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3.2.38. 148-ci sətirdə sabit genişzolaqlı şəbəkə xidməti üzrə nasazlıqların aradan qaldırılmasına sərf olunan vaxt (saatla) göstərilir. Abunəçilərin müraciətlərinə uyğun olaraq nasazlıqların aradan qaldırılmasına sərf edilən vaxtın (saat ilə) miqdarı nəzərdə tutulur. Bu göstərici ümumi nasazlıqların sayına nisbətən bütün nasazlıqların aradan qaldırılmasına sərf olunan vaxtın miqdarı kimi hesablanır.</w:t>
      </w:r>
    </w:p>
    <w:p w14:paraId="5FB5A25E"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3.2.39. 149-cu sətirdə internetə qoşulmaların sayı qeyd olunur.</w:t>
      </w:r>
    </w:p>
    <w:p w14:paraId="5622E2F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3.2.40. 150-ci sətirdə hüquqi şəxslər üzrə sabit genişzolaqlı internet abunəçilərinin ümumi sayı göstərilir. Burada dövlət və özəl müəssisələr, qurumlar və ya biznes subyektləri tərəfindən internetə qoşulan abunəçilərin sayı nəzərdə tutulur (ISP və müəssisələr arasında olan müqavilə əsasında). Bura kabel, DSL, FTTH/FTTB və sabit simsiz genişzolaqlı və peyk texnologiyaları daxildir.</w:t>
      </w:r>
    </w:p>
    <w:p w14:paraId="1368F58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3.2.41. 151-ci sətirdə internet protokolu üzərindən ötürülən stasionar səsli (VoIP) abunəçi qoşulmaların sayı qeyd olunur. </w:t>
      </w:r>
    </w:p>
    <w:p w14:paraId="3C9FAB1C"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3.2.42. 152-ci sətirdə ən azı 256 kbit/s sürətli yerüstü simsiz stasionar internet qoşulmalarının sayı göstərilir. Bura stasionar WiMAX (İnternetə simsiz genişzolaqlı qoşulma texnologiyası) və stasionar simsiz abunəçi qoşulmaları daxil edilir, amma qaynar nöqtələrdə olan təsadüfi istifadəçilər və WiFi qaynar nöqtələrində olan abunəçilər burada istisna təşkil edir. </w:t>
      </w:r>
    </w:p>
    <w:p w14:paraId="5474291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3.2.43. 153-cü sətirdə 256 kbit/s-ə bərabər və ya 256 kbit/s-dən yüksək sürətli, həmçinin 2 Mbit/s-dən aşağı sürətli, 154-cü sətirdə 2 Mbit/s-ə bərabər və ya 2 Mbit/s-dən yüksək, eyni zamanda 10 Mbit/s-dən aşağı sürətli, 155-ci sətirdə 10 Mbit/s-ə bərabər və ya 10 Mbit/s-dən yüksək, eyni zamanda 30 Mbit/s-dən aşağı sürətli, 156-cı sətirdə 30 Mbit/s-ə bərabər və ya 30 Mbit/s-dən yüksək, eyni zamanda 100 Mbit/s-dən aşağı sürətli, 157-ci sətirdə 100 Mbit/s-ə bərabər və ya 100 Mbit/s-dən yüksək olan bütün genişzolaqlı stasionar internet qoşulmalarının sayı göstərilir. </w:t>
      </w:r>
    </w:p>
    <w:p w14:paraId="07582721"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3.2.44. 158-ci sətirdə 256 kbit/s-ə bərabər və ya 256 kbit/s-dən böyük sürətlə internetə qoşulmaq üçün rəqəmsal abunəçi xidmətlərindən istifadə edilən internet qoşulmalarının sayı qeyd olunur. DSL fiziki və hüquqi şəxsləri adi mis telefon xətləri vasitəsilə yüksək </w:t>
      </w:r>
      <w:r w:rsidRPr="00263268">
        <w:rPr>
          <w:rFonts w:ascii="Palatino Linotype" w:hAnsi="Palatino Linotype" w:cs="Arial"/>
          <w:lang w:val="az-Latn-AZ"/>
        </w:rPr>
        <w:lastRenderedPageBreak/>
        <w:t>buraxılma imkanına malik rabitə xidməti ilə təchiz edən texnologiyadır. Əgər binalarda birbaşa fiber xətlərindən istifadə olunarsa, o zaman çox yüksək sürətli rəqəmsal abunəçi xidməti vasitəsilə qoşulmalar bura daxil edilməməlidir.</w:t>
      </w:r>
    </w:p>
    <w:p w14:paraId="5BE1C812"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3.2.45. 159-cu sətirdə fiber xətdən istifadə olunmaqla 256 kbit/s-ə bərabər və ya 256 kbit/s-dən böyük sürətli internet qoşulmalarının sayı göstərilir. Bura binanın bayır divarından 2 metrdən çox olmayan ölçüdə məhdudlaşan və birbaşa abunəçinin mənzilinə fiber xətti ilə təşkil edilən qoşulmalar daxil edilməlidir. Evlərə və ya müəssisələrə, həmçinin şəbəkə qovşaqlarına fiber xətti ilə təşkil olunan qoşulmalar burada istisna təşkil edir. </w:t>
      </w:r>
    </w:p>
    <w:p w14:paraId="7FC54562"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3.2.46. 160-cı sətirdə fiber optik xətlərlə (FTTH, FTTB, FTTdp) əhatə olunmuş mənzillərin sayı qeyd olunur. Bu göstərici özündə fiber optik kabellə evədək (FTTH) və fiber optik kabellə binayadək (FTTB) şəbəkə k</w:t>
      </w:r>
      <w:r>
        <w:rPr>
          <w:rFonts w:ascii="Palatino Linotype" w:hAnsi="Palatino Linotype" w:cs="Arial"/>
          <w:lang w:val="az-Latn-AZ"/>
        </w:rPr>
        <w:t>onfiqurasiyalarını ehtiva edir.</w:t>
      </w:r>
    </w:p>
    <w:p w14:paraId="4E03C18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3.2.47. 161-ci sətirdə genişzolaqlı stasionar və stasionar telefon xidmətləri daxil olmaqla, kompleks telekommunikasiya abunəçi qoşulmalarının sayı qeyd olunur. Yalnız kompleks telekommunikasiya xidmətlərinin izahında verilən meyara uyğun gələn abunəçi qoşulmaları bura daxil edilməlidir. </w:t>
      </w:r>
    </w:p>
    <w:p w14:paraId="01252F4B"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3.2.48. 162-ci sətirdə genişzolaqlı stasionar, stasionar telefon və ödənişli TV xidmətləri daxil olmaqla, kompleks telekommunikasiya abunəçi qoşulmalarının sayı göstərilir. Yalnız kompleks telekommunikasiya xidmətlərinin izahında verilən meyara uyğun gələn abunəçi qoşulmaları bura daxil edilməlidir.</w:t>
      </w:r>
    </w:p>
    <w:p w14:paraId="0A940766"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3.2.49. 163-cü sətirdə 256 kbit/s-ə bərabər və ya 256 kbit/s-dən böyük sürətli digər genişzolaqlı stasionar texnologiyalardan istifadə edilən internet qoşulmalarının (DSL, kabel modemi və fiber xətti ilə qoşulmalardan başqa) sayı qeyd olunur. Bura Ethernet LAN (local şəbəkə) və elektrik xətti üzərindən genişzolaqlı rabitə texnologiyaları daxildir. Ethernet LAN (local şəbəkə) qoşulmalarına IEEE 802.3 texnologiyası istifadə olunan qoşulmalar aiddir. BPL abunəçi qoşulmalarına elektrik xətləri üzərindən təşkil olunan genişzolaqlı internet qoşulmaları aiddir. Müvəqqəti genişzolaqlı qoşulma istifadəçiləri (məsələn, PWLAN qaynar nöqtələri arasındakı rouminq rabitə), WiMAX (İnternetə simsiz genişzolaqlı qoşulma texnologiyası) istifadəçiləri və mobil şəbəkələr üzərindən internetə qoşulan istifadəçilər burada istisna təşkil edir.</w:t>
      </w:r>
    </w:p>
    <w:p w14:paraId="6BEC7B8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3.2.50. 164-cü sətirdə kabel modemi ilə 256 kbit/s-dən böyük və ya 256 kbit/s-ə bərabər sürətlə internetə qoşulmaq üçün kabel modem xidmətindən istifadə edilməklə həyata keçirilən internet qoşulmalarının sayı əks olunur.</w:t>
      </w:r>
    </w:p>
    <w:p w14:paraId="6A4C5E4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3.2.51. 165-ci sətirdə ən azı 256 kbit/s sürətlə peyk rabitəsi texnologiyalarından istifadə olunmaqla internetə qoşulan abunəçilərin sayı göstərilir.</w:t>
      </w:r>
    </w:p>
    <w:p w14:paraId="0EC96C57"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3.2.52. 166-cı sətirdə internet protokolu üzərindən abunəçi televiziya qoşulmalarının sayı qeyd olunur. Bu qoşulmalar IP şəbəkəsi üzərindən təchiz olunan televiziya xidmətinin keyfiyyətinin tələb olunan səviyyəsini, əldə edilən təcrübənin keyfiyyətini, təhlükəsizliyi, interaktivliyi və dayanıqlılığı dəstəkləməyə yönəldilmişdir. İctimai </w:t>
      </w:r>
      <w:r w:rsidRPr="00263268">
        <w:rPr>
          <w:rFonts w:ascii="Palatino Linotype" w:hAnsi="Palatino Linotype" w:cs="Arial"/>
          <w:lang w:val="az-Latn-AZ"/>
        </w:rPr>
        <w:lastRenderedPageBreak/>
        <w:t xml:space="preserve">internet vasitəsilə qoşulan video, məsələn həddən ziyadə çox audiovizual xidmət provayderlərinə abunə qoşulmaları bura daxil deyildir. </w:t>
      </w:r>
    </w:p>
    <w:p w14:paraId="604DEEF7"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3.2.53. 167-ci sətirdə koaksial kabel şəbəkələri üzərindən təqdim edilən çoxkanallı televiziya proqramları abunəçilərinin sayı qeyd olunur. Bura həm analoq və həm də rəqəmsal kabel televiziya abunəçi qoşulmaları daxil edilir. Əgər analoq/rəqəmsal kabel TV abunəçi qoşulmalarında bölüşdürmə mümkün olarsa, o zaman kabel TV qoşulmalarının hər bir növü üçün məlumatlar qeyd olunmalıdır. Kabel TV şəbəkələri üzərindən təmin edilən IPTV (İnternet Protokol Televiziyası) bu xidmətə daxil edilmir.</w:t>
      </w:r>
    </w:p>
    <w:p w14:paraId="28D55DC3"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3.2.54. 168-ci sətirdə provayderlər tərəfindən ödəniş əsasında təqdim edilən peyk antenası vasitəsilə təklif edilən xidmətlər nəzərdə tutulur. Bura pulsuz peyk xidmətləri daxil deyil.</w:t>
      </w:r>
    </w:p>
    <w:p w14:paraId="1C7AC82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3.2.55. 169-cu sətirdə ödənişli TV abunəçilərinin sayı qeyd olunur. Provayderlər tərəfindən ödənişli təqdim edilən əlavə TV proqramlar nəzərdə tutulur. Ödənişli TV xidmətlərinə “birbaşa evədək” (DTH) peyk antenası, kabel TV, İPTV və rəqəmsal yerüstü TV abunəçiləri daxildir. Ödənişli TV abunəçilərinin sayı “birbaşa evədək” (DTH) peyk antena abunəçilərinin və rəqəmsal yerüstü TV abunəçilərinin saylarının cəminə bərabərdir.</w:t>
      </w:r>
    </w:p>
    <w:p w14:paraId="2D5C35A3"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3.2.56. 170-ci sətirdə yerüstü çoxkanallı TV abunəçilərinin sayı göstərilir. Yerüstü çoxkanallı TV abunəçiləri dedikdə, kabel TV, IPTV, rəqəmsal yerüstü TV (DTT) və mikrodalğalı çoxnöqtəli paylama sistemləri (MMDS) abunəçiləri nəzərdə tutulur. DTT və MMDS televiziya yayımı qəbul edən rəqəmsal texnologiya avadanlıqlarıdır (resiverlə</w:t>
      </w:r>
      <w:r>
        <w:rPr>
          <w:rFonts w:ascii="Palatino Linotype" w:hAnsi="Palatino Linotype" w:cs="Arial"/>
          <w:lang w:val="az-Latn-AZ"/>
        </w:rPr>
        <w:t>r). MMDS bir növ kabel</w:t>
      </w:r>
      <w:r w:rsidRPr="00263268">
        <w:rPr>
          <w:rFonts w:ascii="Palatino Linotype" w:hAnsi="Palatino Linotype" w:cs="Arial"/>
          <w:lang w:val="az-Latn-AZ"/>
        </w:rPr>
        <w:t xml:space="preserve"> TV-nin alternativi kimi çıxış edir (kabel çəkilməsi çətin olan ərazilərdə quraşdırılır). DTT-nin standartı kimi aşağıdakılar qeyd oluna bilər: DVB-T, DVB-T2 və sair. </w:t>
      </w:r>
    </w:p>
    <w:p w14:paraId="45828907"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3.2.57. 171-ci sətirdə peyk TV abunəçilərinin sayı qeyd olunur. Peyk TV abunəçiləri dedikdə, peyk televiziya yayımını qəbul etmə imkanı olan ödənişli “birbaşa evədək” (DTH) peyk antena abunəçiləri nəzərdə tutulur. Bura pulsuz peyk xidmətləri daxil deyil. </w:t>
      </w:r>
    </w:p>
    <w:p w14:paraId="3BCFB114"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3.2.58. 172-ci sətirdə IPTV, peyk TV və kabel TV-dən başqa, digər ödənişli TV abunəçi qoşulmalarının sayı göstərilir. Bura mikrodalğalı çoxnöqtəli paylanma sistemləri və ödənişli rəqəmsal yerüstü TV kimi televiziya platformaları üzrə abunəçi qoşulmaları daxildir. Pulsuz peyk televiziya xidməti bura aid edilməməlidir. Qeyd olunan məlumatlara uyğun gələn TV platformaları göstərilməlidir.</w:t>
      </w:r>
    </w:p>
    <w:p w14:paraId="29C91672"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3.2.59. 173-cü sətirdə son istifadəçinin qoşulma məntəqəsində ölçülən və genişzolaqlı stasionar abunəçilər tərəfindən təşkil edilən trafikin həcmi göstərilir. Bu, həmçinin giriş və çıxış trafikin həcmi ümumiləşdirildiyi halda ölçülməlidir. Bura irimiqyaslı trafik, məhdud çərçivədə internetə qoşulma, IPTV və kabel TV trafiki daxil edilməməlidir. </w:t>
      </w:r>
    </w:p>
    <w:p w14:paraId="226EE683"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3.2.60. 174-cü sətirdə internet trafiki daşıyan beynəlxalq fiber optik kabellərin və radio rabitə xətlərinin orta hesabla götürülən trafik yükü qeyd olunur. Burada bütün beynəlxalq internet xətləri ilə ötürülən trafik nəzərə alınmalıdır. Əgər trafik qeyri-bərabər </w:t>
      </w:r>
      <w:r w:rsidRPr="00263268">
        <w:rPr>
          <w:rFonts w:ascii="Palatino Linotype" w:hAnsi="Palatino Linotype" w:cs="Arial"/>
          <w:lang w:val="az-Latn-AZ"/>
        </w:rPr>
        <w:lastRenderedPageBreak/>
        <w:t>şəkildə ötürülərsə (yəni, çıxış trafikinə nisbətən giriş trafiki nisbətən çox olarsa), o zaman orta hesabla götürülən giriş trafikinin yükü təmin edilməlidir. Müxtəlif beynəlxalq internet xətlərinin orta hesabla götürülən ümumi trafik yükü hər bir xəttin orta hesabla götürülən trafik yükünə əlavə kimi qəbul edilə bilər.</w:t>
      </w:r>
    </w:p>
    <w:p w14:paraId="138DF3E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3.2.61. 175-ci sətirdə istifadə olunan beynəlxalq internet kanalının həcmi qeyd olunur. Ölkə daxilində istifadə edilən beynəlxalq kanalların illik həcmi (beynəlxalq kanallar üzərindən daşınan faktiki trafikin həcmi) nəzərdə tutulur. Sabit, mobil və peyk operator</w:t>
      </w:r>
      <w:r>
        <w:rPr>
          <w:rFonts w:ascii="Palatino Linotype" w:hAnsi="Palatino Linotype" w:cs="Arial"/>
          <w:lang w:val="az-Latn-AZ"/>
        </w:rPr>
        <w:t>ları tərəfindən istifadə edilən</w:t>
      </w:r>
      <w:r w:rsidRPr="00263268">
        <w:rPr>
          <w:rFonts w:ascii="Palatino Linotype" w:hAnsi="Palatino Linotype" w:cs="Arial"/>
          <w:lang w:val="az-Latn-AZ"/>
        </w:rPr>
        <w:t xml:space="preserve"> beynəlxalq kanalların həcmi, beynəlxalq kanallara sahib olan və istifadə edən (özünütəminat), icarə və ya müqavilə əsasında fəaliyyət göstərən operatorlar tərəfindən daşınan beynəlxalq kanalların həcmi nəzərə alınmalıdır. Əgər trafik asimmetrikdirsə (gələn və çıxan trafik fərqlidirsə), onda ən yüksək trafik göstərilməlidir.</w:t>
      </w:r>
    </w:p>
    <w:p w14:paraId="47D397C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3.2.62. 176-cı sətirdə internet trafiki daşıyan beynəlxalq fiber optik kabellərin ümumi buraxılma imkanı göstərilir. Beynəlxalq xətlərə malik olan transmilli operatorların beynəlxalq internet tezlik diapazonu, o cümlədən yerli internet xidməti provayderlərinə beynəlxalq internet xidmətini icarəyə verən irimiqyaslı şirkətlərin qoşulma imkanları bura aid edilməlidir. Əgər trafik tutumunda uyğunsuzluq olarsa (yəni, çıxış trafikinə nisbətən giriş trafikinin həcmi çox olarsa), giriş trafikinin həcmi təmin edilməlidir.</w:t>
      </w:r>
    </w:p>
    <w:p w14:paraId="1B7173A0" w14:textId="77777777" w:rsidR="005E5939" w:rsidRPr="00263268" w:rsidRDefault="005E5939" w:rsidP="005E5939">
      <w:pPr>
        <w:jc w:val="center"/>
        <w:rPr>
          <w:rFonts w:ascii="Palatino Linotype" w:hAnsi="Palatino Linotype" w:cs="Arial"/>
          <w:b/>
          <w:lang w:val="az-Latn-AZ"/>
        </w:rPr>
      </w:pPr>
    </w:p>
    <w:p w14:paraId="6A6D708D" w14:textId="77777777" w:rsidR="005E5939" w:rsidRDefault="005E5939" w:rsidP="005E5939">
      <w:pPr>
        <w:jc w:val="center"/>
        <w:rPr>
          <w:rFonts w:ascii="Palatino Linotype" w:hAnsi="Palatino Linotype" w:cs="Arial"/>
          <w:b/>
          <w:lang w:val="az-Latn-AZ"/>
        </w:rPr>
      </w:pPr>
      <w:r w:rsidRPr="00263268">
        <w:rPr>
          <w:rFonts w:ascii="Palatino Linotype" w:hAnsi="Palatino Linotype" w:cs="Arial"/>
          <w:b/>
          <w:lang w:val="az-Latn-AZ"/>
        </w:rPr>
        <w:t>3.3. III bölmə. Mobil telefon abunəçilərinin sayı</w:t>
      </w:r>
    </w:p>
    <w:p w14:paraId="0383D09B" w14:textId="77777777" w:rsidR="005E5939" w:rsidRPr="00263268" w:rsidRDefault="005E5939" w:rsidP="005E5939">
      <w:pPr>
        <w:jc w:val="center"/>
        <w:rPr>
          <w:rFonts w:ascii="Palatino Linotype" w:hAnsi="Palatino Linotype" w:cs="Arial"/>
          <w:b/>
          <w:lang w:val="az-Latn-AZ"/>
        </w:rPr>
      </w:pPr>
    </w:p>
    <w:p w14:paraId="72E675B0" w14:textId="77777777" w:rsidR="005E5939" w:rsidRPr="00263268" w:rsidRDefault="005E5939" w:rsidP="005E5939">
      <w:pPr>
        <w:ind w:firstLine="540"/>
        <w:jc w:val="both"/>
        <w:rPr>
          <w:rFonts w:ascii="Palatino Linotype" w:hAnsi="Palatino Linotype" w:cs="Arial"/>
          <w:b/>
          <w:lang w:val="az-Latn-AZ"/>
        </w:rPr>
      </w:pPr>
      <w:r w:rsidRPr="00263268">
        <w:rPr>
          <w:rFonts w:ascii="Palatino Linotype" w:hAnsi="Palatino Linotype" w:cs="Arial"/>
          <w:bCs/>
          <w:lang w:val="az-Latn-AZ"/>
        </w:rPr>
        <w:t xml:space="preserve">177-276-cı sətirlərdə </w:t>
      </w:r>
      <w:r w:rsidRPr="00263268">
        <w:rPr>
          <w:rFonts w:ascii="Palatino Linotype" w:hAnsi="Palatino Linotype" w:cs="Arial"/>
          <w:lang w:val="az-Latn-AZ"/>
        </w:rPr>
        <w:t>abunəçilərin sayı ölkə və region bölgüsündə göstərilir. Bu bölmə ildə bir dəfə, dördüncü rübdə doldurulur.</w:t>
      </w:r>
    </w:p>
    <w:p w14:paraId="0E3DE7A9" w14:textId="77777777" w:rsidR="009672E7" w:rsidRDefault="009672E7"/>
    <w:sectPr w:rsidR="009672E7" w:rsidSect="005642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939"/>
    <w:rsid w:val="0056424D"/>
    <w:rsid w:val="005E5939"/>
    <w:rsid w:val="007E596B"/>
    <w:rsid w:val="009672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1A25E"/>
  <w15:chartTrackingRefBased/>
  <w15:docId w15:val="{AB4C12DB-8137-418A-B774-25543986C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az-Latn-A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939"/>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5939"/>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E59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tat.gov.a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4516</Words>
  <Characters>25743</Characters>
  <Application>Microsoft Office Word</Application>
  <DocSecurity>0</DocSecurity>
  <Lines>214</Lines>
  <Paragraphs>60</Paragraphs>
  <ScaleCrop>false</ScaleCrop>
  <Company/>
  <LinksUpToDate>false</LinksUpToDate>
  <CharactersWithSpaces>30199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Gulbala Guliyev</dc:creator>
  <cp:keywords/>
  <dc:description/>
  <cp:lastModifiedBy>User</cp:lastModifiedBy>
  <cp:revision>2</cp:revision>
  <dcterms:created xsi:type="dcterms:W3CDTF">2023-01-23T10:47:00Z</dcterms:created>
  <dcterms:modified xsi:type="dcterms:W3CDTF">2023-01-23T10:47:00Z</dcterms:modified>
</cp:coreProperties>
</file>